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Northampton Outperforms State on AP Exams, but Why?</w:t>
      </w:r>
    </w:p>
    <w:p>
      <w:pPr>
        <w:pStyle w:val="Author"/>
      </w:pPr>
      <w:r>
        <w:t xml:space="preserve">Kiersten Conley</w:t>
      </w:r>
    </w:p>
    <w:p>
      <w:pPr>
        <w:pStyle w:val="Date"/>
      </w:pPr>
      <w:r>
        <w:t xml:space="preserve">Feb 22, 2026</w:t>
      </w:r>
    </w:p>
    <w:p>
      <w:pPr>
        <w:pStyle w:val="FirstParagraph"/>
      </w:pPr>
      <w:r>
        <w:t xml:space="preserve">In 2025, Northampton High School students had higher average scores than other districts in Massachusetts in College Board’s Advanced Placement exams, a common marker of accelerated student achievement.</w:t>
      </w:r>
    </w:p>
    <w:p>
      <w:pPr>
        <w:pStyle w:val="BodyText"/>
      </w:pPr>
      <w:r>
        <w:t xml:space="preserve">This raises important questions about the impact of educational approaches on student exam performance, educators say.</w:t>
      </w:r>
    </w:p>
    <w:p>
      <w:pPr>
        <w:pStyle w:val="BodyText"/>
      </w:pPr>
      <w:r>
        <w:t xml:space="preserve">Every May, thousands of students in the Commonwealth of Massachusetts participate in the College Board’s Advanced Placement exams.</w:t>
      </w:r>
      <w:r>
        <w:t xml:space="preserve"> </w:t>
      </w:r>
      <w:r>
        <w:t xml:space="preserve">These exams range in subject areas: from English, to foreign languages, to social studies, to mathematical and computer sciences, to science.</w:t>
      </w:r>
    </w:p>
    <w:p>
      <w:pPr>
        <w:pStyle w:val="BodyText"/>
      </w:pPr>
      <w:r>
        <w:t xml:space="preserve">Using data from the Massachusetts Education-to-Career Research &amp; Data Hub, we examined both Northampton’s and other district schools’ AP scores using the</w:t>
      </w:r>
      <w:r>
        <w:t xml:space="preserve"> </w:t>
      </w:r>
      <w:r>
        <w:t xml:space="preserve">“Advanced Placement (AP) Performance”</w:t>
      </w:r>
      <w:r>
        <w:t xml:space="preserve"> </w:t>
      </w:r>
      <w:r>
        <w:t xml:space="preserve">dataset.</w:t>
      </w:r>
    </w:p>
    <w:p>
      <w:pPr>
        <w:pStyle w:val="BodyText"/>
      </w:pPr>
      <w:r>
        <w:t xml:space="preserve">For context, on College Board’s Advanced Placement exams, students can score from 1-5, with each score equating to a different recommendation from College Board for a student’s qualification for college credit.</w:t>
      </w:r>
      <w:r>
        <w:t xml:space="preserve"> </w:t>
      </w:r>
      <w:r>
        <w:t xml:space="preserve">1 is considered</w:t>
      </w:r>
      <w:r>
        <w:t xml:space="preserve"> </w:t>
      </w:r>
      <w:r>
        <w:t xml:space="preserve">“no recommendation”</w:t>
      </w:r>
      <w:r>
        <w:t xml:space="preserve">, 2 is considered</w:t>
      </w:r>
      <w:r>
        <w:t xml:space="preserve"> </w:t>
      </w:r>
      <w:r>
        <w:t xml:space="preserve">“possibly qualified”</w:t>
      </w:r>
      <w:r>
        <w:t xml:space="preserve">, 3 is considered</w:t>
      </w:r>
      <w:r>
        <w:t xml:space="preserve"> </w:t>
      </w:r>
      <w:r>
        <w:t xml:space="preserve">“qualified”</w:t>
      </w:r>
      <w:r>
        <w:t xml:space="preserve">, 4 is considered</w:t>
      </w:r>
      <w:r>
        <w:t xml:space="preserve"> </w:t>
      </w:r>
      <w:r>
        <w:t xml:space="preserve">“very well qualified”</w:t>
      </w:r>
      <w:r>
        <w:t xml:space="preserve">, and 5 is considered</w:t>
      </w:r>
      <w:r>
        <w:t xml:space="preserve"> </w:t>
      </w:r>
      <w:r>
        <w:t xml:space="preserve">“extremely well qualified”</w:t>
      </w:r>
      <w:r>
        <w:t xml:space="preserve"> </w:t>
      </w:r>
      <w:r>
        <w:t xml:space="preserve">(Patterson &amp; Ewing, 2013)</w:t>
      </w:r>
      <w:r>
        <w:t xml:space="preserve">.</w:t>
      </w:r>
    </w:p>
    <w:p>
      <w:pPr>
        <w:pStyle w:val="BodyText"/>
      </w:pPr>
      <w:r>
        <w:t xml:space="preserve">Overall, Northampton out-ranked the state in the majority of subject categories.</w:t>
      </w:r>
      <w:r>
        <w:t xml:space="preserve"> </w:t>
      </w:r>
      <w:r>
        <w:t xml:space="preserve">Across all subject categories, excluding English Language Arts, Northampton students scored 5’s anywhere from 5 to 15 percent more often than the overall state.</w:t>
      </w:r>
      <w:r>
        <w:t xml:space="preserve"> </w:t>
      </w:r>
      <w:r>
        <w:t xml:space="preserve">In the majority of subject categories, fewer than 1 in 20 students scored a 1 on their exam in Northampton, but up to 3 times that many students scored a 1 at the state level.</w:t>
      </w:r>
    </w:p>
    <w:p>
      <w:pPr>
        <w:pStyle w:val="BodyText"/>
      </w:pPr>
      <w:r>
        <w:t xml:space="preserve">At both the local and state levels, students most commonly scored a passing 4.</w:t>
      </w:r>
      <w:r>
        <w:t xml:space="preserve"> </w:t>
      </w:r>
      <w:r>
        <w:t xml:space="preserve">Northampton more commonly got this impressive score, approximately 35 percent, but less than 30 percent of the state did. See more below.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ndex_files/figure-docx/unnamed-chunk-3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index_files/figure-docx/unnamed-chunk-4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Northampton most stood out in History and Social Sciences, Foreign Languages, and Math &amp; Computer Science with pass rates exceeding 85 percent.</w:t>
      </w:r>
      <w:r>
        <w:t xml:space="preserve"> </w:t>
      </w:r>
      <w:r>
        <w:t xml:space="preserve">All of these subjects are vastly different in nature.</w:t>
      </w:r>
      <w:r>
        <w:t xml:space="preserve"> </w:t>
      </w:r>
      <w:r>
        <w:t xml:space="preserve">This raises the question: Why is Northampton succeeding so much in their scores?</w:t>
      </w:r>
    </w:p>
    <w:p>
      <w:pPr>
        <w:pStyle w:val="BodyText"/>
      </w:pPr>
      <w:r>
        <w:t xml:space="preserve">Northampton Public Schools recently released their 5-year Public Schools Strategic Plan.</w:t>
      </w:r>
      <w:r>
        <w:t xml:space="preserve"> </w:t>
      </w:r>
      <w:r>
        <w:t xml:space="preserve">This plan outlines the goals of the district which includes the continued use of the SEL curriculum</w:t>
      </w:r>
      <w:r>
        <w:t xml:space="preserve"> </w:t>
      </w:r>
      <w:r>
        <w:t xml:space="preserve">(Belliveau, 2024)</w:t>
      </w:r>
      <w:r>
        <w:t xml:space="preserve">.</w:t>
      </w:r>
      <w:r>
        <w:t xml:space="preserve"> </w:t>
      </w:r>
      <w:r>
        <w:t xml:space="preserve">The SEL curriculum focuses on community, collective learning, emotional health, identity, and empathy in education</w:t>
      </w:r>
      <w:r>
        <w:t xml:space="preserve"> </w:t>
      </w:r>
      <w:r>
        <w:t xml:space="preserve">(Waajid et al., 2013)</w:t>
      </w:r>
      <w:r>
        <w:t xml:space="preserve">.</w:t>
      </w:r>
    </w:p>
    <w:p>
      <w:pPr>
        <w:pStyle w:val="BodyText"/>
      </w:pPr>
      <w:r>
        <w:t xml:space="preserve">Cheryl, a local standardized testing coordinator with over 20 years experience in education, says:</w:t>
      </w:r>
      <w:r>
        <w:t xml:space="preserve"> </w:t>
      </w:r>
      <w:r>
        <w:t xml:space="preserve">“Such holistic curriculums are becoming increasingly common in education, as they have been found to produce more well-rounded students, and improved testing scores across the board.”</w:t>
      </w:r>
    </w:p>
    <w:p>
      <w:pPr>
        <w:pStyle w:val="BodyText"/>
      </w:pPr>
      <w:r>
        <w:t xml:space="preserve">With this, it appears that Northampton’s curriculum might be a contributor to their high AP scores.</w:t>
      </w:r>
    </w:p>
    <w:p>
      <w:pPr>
        <w:pStyle w:val="BodyText"/>
      </w:pPr>
      <w:r>
        <w:t xml:space="preserve">Cheryl explained:</w:t>
      </w:r>
      <w:r>
        <w:t xml:space="preserve"> </w:t>
      </w:r>
      <w:r>
        <w:t xml:space="preserve">“Curriculums, such as the SEL curriculum, have become significantly more common, but are still not fully implemented in the majority of schools.</w:t>
      </w:r>
      <w:r>
        <w:t xml:space="preserve"> </w:t>
      </w:r>
      <w:r>
        <w:t xml:space="preserve">In my experience, schools with the SEL curriculum, or similar holistic curriculums, tend to score better than other schools.”</w:t>
      </w:r>
    </w:p>
    <w:p>
      <w:pPr>
        <w:pStyle w:val="BodyText"/>
      </w:pPr>
      <w:r>
        <w:t xml:space="preserve">Cheryl finished our interview saying:</w:t>
      </w:r>
      <w:r>
        <w:t xml:space="preserve"> </w:t>
      </w:r>
      <w:r>
        <w:t xml:space="preserve">“I think Northampton is a phenomenal example of the benefits of holistic education curriculums, and I hope to see more schools implement such curriculums, as I believe they’re tied to improved student testing performance.”</w:t>
      </w:r>
    </w:p>
    <w:bookmarkStart w:id="29" w:name="refs"/>
    <w:bookmarkStart w:id="26" w:name="ref-belliveau2024strategic"/>
    <w:p>
      <w:pPr>
        <w:pStyle w:val="Bibliography"/>
      </w:pPr>
      <w:r>
        <w:t xml:space="preserve">Belliveau, S. (2024).</w:t>
      </w:r>
      <w:r>
        <w:t xml:space="preserve"> </w:t>
      </w:r>
      <w:r>
        <w:rPr>
          <w:i/>
          <w:iCs/>
        </w:rPr>
        <w:t xml:space="preserve">Strategic plan 2024-2029: Canadian humanitarian response network</w:t>
      </w:r>
      <w:r>
        <w:t xml:space="preserve">.</w:t>
      </w:r>
    </w:p>
    <w:bookmarkEnd w:id="26"/>
    <w:bookmarkStart w:id="27" w:name="ref-patterson2013validating"/>
    <w:p>
      <w:pPr>
        <w:pStyle w:val="Bibliography"/>
      </w:pPr>
      <w:r>
        <w:t xml:space="preserve">Patterson, B. F., &amp; Ewing, M. (2013). Validating the use of AP exam scores for college course placement. Research report 2013-2.</w:t>
      </w:r>
      <w:r>
        <w:t xml:space="preserve"> </w:t>
      </w:r>
      <w:r>
        <w:rPr>
          <w:i/>
          <w:iCs/>
        </w:rPr>
        <w:t xml:space="preserve">College Board</w:t>
      </w:r>
      <w:r>
        <w:t xml:space="preserve">.</w:t>
      </w:r>
    </w:p>
    <w:bookmarkEnd w:id="27"/>
    <w:bookmarkStart w:id="28" w:name="ref-waajid2013infusing"/>
    <w:p>
      <w:pPr>
        <w:pStyle w:val="Bibliography"/>
      </w:pPr>
      <w:r>
        <w:t xml:space="preserve">Waajid, B., Garner, P. W., &amp; Owen, J. E. (2013). Infusing social emotional learning into the teacher education curriculum.</w:t>
      </w:r>
      <w:r>
        <w:t xml:space="preserve"> </w:t>
      </w:r>
      <w:r>
        <w:rPr>
          <w:i/>
          <w:iCs/>
        </w:rPr>
        <w:t xml:space="preserve">International Journal of Emotional Education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(2), 31–48.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 Outperforms State on AP Exams, but Why?</dc:title>
  <dc:creator>Kiersten Conley</dc:creator>
  <cp:keywords/>
  <dcterms:created xsi:type="dcterms:W3CDTF">2026-03-06T19:28:26Z</dcterms:created>
  <dcterms:modified xsi:type="dcterms:W3CDTF">2026-03-06T19:28:26Z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refs.bib</vt:lpwstr>
  </property>
  <property fmtid="{D5CDD505-2E9C-101B-9397-08002B2CF9AE}" pid="5" name="by-author">
    <vt:lpwstr/>
  </property>
  <property fmtid="{D5CDD505-2E9C-101B-9397-08002B2CF9AE}" pid="6" name="csl">
    <vt:lpwstr>apa.csl</vt:lpwstr>
  </property>
  <property fmtid="{D5CDD505-2E9C-101B-9397-08002B2CF9AE}" pid="7" name="date">
    <vt:lpwstr>Feb 22, 2026</vt:lpwstr>
  </property>
  <property fmtid="{D5CDD505-2E9C-101B-9397-08002B2CF9AE}" pid="8" name="date-format">
    <vt:lpwstr>medium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sting">
    <vt:lpwstr/>
  </property>
  <property fmtid="{D5CDD505-2E9C-101B-9397-08002B2CF9AE}" pid="14" name="page-layout">
    <vt:lpwstr>full</vt:lpwstr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